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9" w:rsidRDefault="007D5579" w:rsidP="007D5579"/>
    <w:p w:rsidR="007D5579" w:rsidRDefault="007D5579" w:rsidP="007D5579">
      <w:r w:rsidRPr="0088377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4pt;width:121pt;height:126.45pt;z-index:251660288;mso-wrap-style:none">
            <v:textbox style="mso-next-textbox:#_x0000_s1026;mso-fit-shape-to-text:t">
              <w:txbxContent>
                <w:p w:rsidR="007D5579" w:rsidRDefault="007D5579" w:rsidP="007D5579">
                  <w:r>
                    <w:rPr>
                      <w:noProof/>
                      <w:sz w:val="48"/>
                      <w:lang w:eastAsia="es-GT"/>
                    </w:rPr>
                    <w:drawing>
                      <wp:inline distT="0" distB="0" distL="0" distR="0">
                        <wp:extent cx="1343025" cy="1352550"/>
                        <wp:effectExtent l="19050" t="0" r="9525" b="0"/>
                        <wp:docPr id="1" name="Imagen 1" descr="LOGORRO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LOGORRO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D5579" w:rsidRPr="004D4153" w:rsidRDefault="007D5579" w:rsidP="007D5579">
      <w:pPr>
        <w:pStyle w:val="Ttulo4"/>
        <w:jc w:val="right"/>
        <w:rPr>
          <w:sz w:val="48"/>
        </w:rPr>
      </w:pPr>
      <w:r w:rsidRPr="006607A4">
        <w:rPr>
          <w:color w:val="000066"/>
          <w:sz w:val="32"/>
        </w:rPr>
        <w:t>RED REGIONAL DE ORGANIZACIONES CIVILES PARA LAS MIGRACIONES</w:t>
      </w:r>
    </w:p>
    <w:p w:rsidR="007D5579" w:rsidRDefault="007D5579" w:rsidP="007D5579">
      <w:pPr>
        <w:spacing w:line="240" w:lineRule="auto"/>
      </w:pPr>
    </w:p>
    <w:p w:rsidR="007D5579" w:rsidRDefault="007D5579" w:rsidP="007D5579">
      <w:pPr>
        <w:spacing w:line="240" w:lineRule="auto"/>
      </w:pPr>
    </w:p>
    <w:p w:rsidR="007D5579" w:rsidRDefault="007D5579" w:rsidP="007D5579">
      <w:pPr>
        <w:jc w:val="center"/>
        <w:rPr>
          <w:rFonts w:ascii="Arial" w:hAnsi="Arial" w:cs="Arial"/>
          <w:b/>
        </w:rPr>
      </w:pPr>
    </w:p>
    <w:p w:rsidR="007D5579" w:rsidRDefault="007D5579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3E9F" w:rsidRDefault="0041428A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PROPUESTA DE </w:t>
      </w:r>
      <w:r w:rsidR="008E21C8" w:rsidRPr="001B6930">
        <w:rPr>
          <w:rFonts w:ascii="Arial" w:hAnsi="Arial" w:cs="Arial"/>
          <w:b/>
          <w:sz w:val="24"/>
          <w:szCs w:val="24"/>
        </w:rPr>
        <w:t>AGENDA GRUPO AD HOC</w:t>
      </w:r>
    </w:p>
    <w:p w:rsidR="001B6930" w:rsidRPr="0041428A" w:rsidRDefault="0041428A" w:rsidP="001B69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428A">
        <w:rPr>
          <w:rFonts w:ascii="Arial" w:hAnsi="Arial" w:cs="Arial"/>
          <w:sz w:val="20"/>
          <w:szCs w:val="20"/>
        </w:rPr>
        <w:t>Presentación de la RROCM ante el Grupo Regional sobre Migraciones</w:t>
      </w:r>
    </w:p>
    <w:p w:rsidR="0041428A" w:rsidRPr="0041428A" w:rsidRDefault="0041428A" w:rsidP="001B69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428A">
        <w:rPr>
          <w:rFonts w:ascii="Arial" w:hAnsi="Arial" w:cs="Arial"/>
          <w:sz w:val="20"/>
          <w:szCs w:val="20"/>
        </w:rPr>
        <w:t>5 de diciembre del 2012</w:t>
      </w:r>
    </w:p>
    <w:p w:rsidR="0041428A" w:rsidRPr="001B6930" w:rsidRDefault="0041428A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01AE" w:rsidRDefault="007001AE" w:rsidP="0041428A">
      <w:pPr>
        <w:pStyle w:val="Default"/>
        <w:jc w:val="both"/>
        <w:rPr>
          <w:rFonts w:ascii="Arial" w:hAnsi="Arial" w:cs="Arial"/>
        </w:rPr>
      </w:pPr>
      <w:r w:rsidRPr="006B7D53">
        <w:rPr>
          <w:rFonts w:ascii="Arial" w:hAnsi="Arial" w:cs="Arial"/>
        </w:rPr>
        <w:t xml:space="preserve">La RROCM, </w:t>
      </w:r>
      <w:r>
        <w:rPr>
          <w:rFonts w:ascii="Arial" w:hAnsi="Arial" w:cs="Arial"/>
        </w:rPr>
        <w:t xml:space="preserve">planteó en la </w:t>
      </w:r>
      <w:r w:rsidRPr="006B7D53">
        <w:rPr>
          <w:rFonts w:ascii="Arial" w:hAnsi="Arial" w:cs="Arial"/>
        </w:rPr>
        <w:t xml:space="preserve"> XVII </w:t>
      </w:r>
      <w:r>
        <w:rPr>
          <w:rFonts w:ascii="Arial" w:hAnsi="Arial" w:cs="Arial"/>
        </w:rPr>
        <w:t xml:space="preserve">Conferencia Regional sobre Migraciones, celebrada en Panamá en junio del 2012, una propuesta para dialogar con los gobiernos temas centrales que permitan a partir de los aprendizajes mutuos, </w:t>
      </w:r>
      <w:r w:rsidR="00AF4AE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generar mecanismos de coordinación nacional y regional.</w:t>
      </w:r>
    </w:p>
    <w:p w:rsidR="006B7D53" w:rsidRDefault="006B7D53" w:rsidP="0041428A">
      <w:pPr>
        <w:pStyle w:val="Default"/>
        <w:jc w:val="both"/>
        <w:rPr>
          <w:rFonts w:ascii="Arial" w:hAnsi="Arial" w:cs="Arial"/>
        </w:rPr>
      </w:pPr>
    </w:p>
    <w:p w:rsidR="007001AE" w:rsidRDefault="007001AE" w:rsidP="004142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espacio de diálogo e intercambio, permitirá profundizar en el análisis y debate de temas que tanto a gobiernos como sociedad civil preocupa. Estamos convencidos que este modelo de intercambio fortalecerá a la Conferencia Regional de las Migraciones y a la Red Regional de Organizaciones Civiles para las Migraciones. </w:t>
      </w:r>
    </w:p>
    <w:p w:rsidR="007001AE" w:rsidRDefault="007001AE" w:rsidP="0041428A">
      <w:pPr>
        <w:pStyle w:val="Default"/>
        <w:jc w:val="both"/>
        <w:rPr>
          <w:rFonts w:ascii="Arial" w:hAnsi="Arial" w:cs="Arial"/>
        </w:rPr>
      </w:pPr>
    </w:p>
    <w:p w:rsidR="00AF4AEB" w:rsidRDefault="007001AE" w:rsidP="004142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El Diálogo entre gobiernos y sociedad civil, se debe generar en un marco de confianza, por lo que p</w:t>
      </w:r>
      <w:r w:rsidR="00A5243F">
        <w:rPr>
          <w:rFonts w:ascii="Arial" w:hAnsi="Arial" w:cs="Arial"/>
        </w:rPr>
        <w:t>roponemos</w:t>
      </w:r>
      <w:r w:rsidR="00AF4AEB">
        <w:rPr>
          <w:rFonts w:ascii="Arial" w:hAnsi="Arial" w:cs="Arial"/>
        </w:rPr>
        <w:t xml:space="preserve"> la adopción de principios éticos para el funcionamiento del Grupo Ad-hoc.</w:t>
      </w:r>
    </w:p>
    <w:p w:rsidR="00C25FDC" w:rsidRDefault="00C25FDC" w:rsidP="0041428A">
      <w:pPr>
        <w:pStyle w:val="Default"/>
        <w:jc w:val="both"/>
        <w:rPr>
          <w:rFonts w:ascii="Arial" w:hAnsi="Arial" w:cs="Arial"/>
        </w:rPr>
      </w:pPr>
    </w:p>
    <w:p w:rsidR="00C25FDC" w:rsidRDefault="00C25FDC" w:rsidP="004142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objeto de optimizar el encuentro la RROCM propone una agenda que asigne tiempo para la información, la discusión y la toma de acuerdos sobre cada uno de los temas definidos. </w:t>
      </w:r>
    </w:p>
    <w:p w:rsidR="00C25FDC" w:rsidRDefault="00C25FDC" w:rsidP="00C25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FDC" w:rsidRDefault="00C25FDC" w:rsidP="00C25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evento es de un día (20 de febrero), y en éste se abordarán los tres temas. Para cada una/o de los participantes proporcionarán información, que permita generar la discusión.  Al final del día se contará con </w:t>
      </w:r>
      <w:r w:rsidR="00CF051D">
        <w:rPr>
          <w:rFonts w:ascii="Arial" w:hAnsi="Arial" w:cs="Arial"/>
          <w:sz w:val="24"/>
          <w:szCs w:val="24"/>
        </w:rPr>
        <w:t>un documento</w:t>
      </w:r>
      <w:r w:rsidR="00EA4B5D">
        <w:rPr>
          <w:rFonts w:ascii="Arial" w:hAnsi="Arial" w:cs="Arial"/>
          <w:sz w:val="24"/>
          <w:szCs w:val="24"/>
        </w:rPr>
        <w:t xml:space="preserve"> que recuperará los </w:t>
      </w:r>
      <w:r>
        <w:rPr>
          <w:rFonts w:ascii="Arial" w:hAnsi="Arial" w:cs="Arial"/>
          <w:sz w:val="24"/>
          <w:szCs w:val="24"/>
        </w:rPr>
        <w:t xml:space="preserve"> acuerdos tomados.</w:t>
      </w:r>
    </w:p>
    <w:p w:rsidR="007001AE" w:rsidRDefault="00AF4AEB" w:rsidP="004142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243F" w:rsidRPr="0041428A" w:rsidRDefault="00A5243F" w:rsidP="004142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8A">
        <w:rPr>
          <w:rFonts w:ascii="Arial" w:hAnsi="Arial" w:cs="Arial"/>
          <w:b/>
          <w:sz w:val="24"/>
          <w:szCs w:val="24"/>
        </w:rPr>
        <w:t xml:space="preserve">Temas </w:t>
      </w:r>
      <w:r w:rsidR="00AF4AEB">
        <w:rPr>
          <w:rFonts w:ascii="Arial" w:hAnsi="Arial" w:cs="Arial"/>
          <w:b/>
          <w:sz w:val="24"/>
          <w:szCs w:val="24"/>
        </w:rPr>
        <w:t xml:space="preserve">priorizados </w:t>
      </w:r>
    </w:p>
    <w:p w:rsidR="00A5243F" w:rsidRPr="00CF051D" w:rsidRDefault="00A5243F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1D">
        <w:rPr>
          <w:rFonts w:ascii="Arial" w:hAnsi="Arial" w:cs="Arial"/>
          <w:sz w:val="24"/>
          <w:szCs w:val="24"/>
        </w:rPr>
        <w:t>Trata de Personas</w:t>
      </w:r>
    </w:p>
    <w:p w:rsidR="00A5243F" w:rsidRPr="00CF051D" w:rsidRDefault="00A5243F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1D">
        <w:rPr>
          <w:rFonts w:ascii="Arial" w:hAnsi="Arial" w:cs="Arial"/>
          <w:sz w:val="24"/>
          <w:szCs w:val="24"/>
        </w:rPr>
        <w:t xml:space="preserve">Integración y reinserción </w:t>
      </w:r>
    </w:p>
    <w:p w:rsidR="00A5243F" w:rsidRPr="00CF051D" w:rsidRDefault="00A5243F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1D">
        <w:rPr>
          <w:rFonts w:ascii="Arial" w:hAnsi="Arial" w:cs="Arial"/>
          <w:sz w:val="24"/>
          <w:szCs w:val="24"/>
        </w:rPr>
        <w:lastRenderedPageBreak/>
        <w:t>Atención a grupos en situaciones de vulnerabilidad. Con especial énfasis en NNA no acompañados</w:t>
      </w:r>
    </w:p>
    <w:p w:rsidR="0041428A" w:rsidRDefault="0041428A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AEB" w:rsidRDefault="00AF4AEB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RROCM solicita a la Secretaría Técnica de la CRM y a la Presidencia Pro-Témpore la actualización de la lista de países interesados en participar en el Grupo Ad-hoc y la identificación del funcionario (s) / puntos focales que atenderán este proceso. </w:t>
      </w:r>
    </w:p>
    <w:p w:rsidR="00AF4AEB" w:rsidRDefault="00AF4AEB" w:rsidP="004142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243F" w:rsidRDefault="00AF4AEB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Hasta el momento, los países que han manifestado su interés de participar son: </w:t>
      </w:r>
      <w:r w:rsidR="00A5243F">
        <w:rPr>
          <w:rFonts w:ascii="Arial" w:hAnsi="Arial" w:cs="Arial"/>
          <w:sz w:val="24"/>
          <w:szCs w:val="24"/>
        </w:rPr>
        <w:t xml:space="preserve">Canadá, México, Guatemala, El Salvador, Nicaragua, </w:t>
      </w:r>
      <w:r>
        <w:rPr>
          <w:rFonts w:ascii="Arial" w:hAnsi="Arial" w:cs="Arial"/>
          <w:sz w:val="24"/>
          <w:szCs w:val="24"/>
        </w:rPr>
        <w:t xml:space="preserve">República Dominicana y </w:t>
      </w:r>
      <w:r w:rsidR="00A5243F">
        <w:rPr>
          <w:rFonts w:ascii="Arial" w:hAnsi="Arial" w:cs="Arial"/>
          <w:sz w:val="24"/>
          <w:szCs w:val="24"/>
        </w:rPr>
        <w:t xml:space="preserve">Costa Rica. </w:t>
      </w:r>
    </w:p>
    <w:p w:rsidR="0041428A" w:rsidRDefault="0041428A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AEB" w:rsidRDefault="00AF4AEB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a conversaciones sostenidas con la Secretaría Técnica de la CRM y el gobierno de El Salvador se propone la realización de la primera reunión presencial para los días 19 al 21 de febrero de 2013. </w:t>
      </w:r>
      <w:r w:rsidR="00C25FDC">
        <w:rPr>
          <w:rFonts w:ascii="Arial" w:hAnsi="Arial" w:cs="Arial"/>
          <w:sz w:val="24"/>
          <w:szCs w:val="24"/>
        </w:rPr>
        <w:t>En este sentido, se agradece al gobierno de El Salvador el ofrecimiento de la sede y al gobierno de Canadá por la disposición y apoyo financiero. Instamos a otros gobiernos a contribuir para la realización del evento.</w:t>
      </w:r>
    </w:p>
    <w:p w:rsidR="00C25FDC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FDC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FDC" w:rsidRPr="00CF051D" w:rsidRDefault="00C25FDC" w:rsidP="00C25FDC">
      <w:pPr>
        <w:rPr>
          <w:rFonts w:ascii="Arial" w:hAnsi="Arial" w:cs="Arial"/>
          <w:b/>
          <w:sz w:val="24"/>
        </w:rPr>
      </w:pPr>
      <w:r w:rsidRPr="00CF051D">
        <w:rPr>
          <w:rFonts w:ascii="Arial" w:hAnsi="Arial" w:cs="Arial"/>
          <w:b/>
          <w:sz w:val="24"/>
        </w:rPr>
        <w:t>AGENDA TENTATIVA</w:t>
      </w:r>
    </w:p>
    <w:p w:rsidR="00C25FDC" w:rsidRPr="00CF051D" w:rsidRDefault="00C25FDC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Antecedentes de la creación del Grupo Ad- Hoc</w:t>
      </w:r>
    </w:p>
    <w:p w:rsidR="00C25FDC" w:rsidRPr="00CF051D" w:rsidRDefault="00C25FDC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Presentación de los temas priorizados</w:t>
      </w:r>
    </w:p>
    <w:p w:rsidR="00C25FDC" w:rsidRPr="00CF051D" w:rsidRDefault="00C25FDC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Trata de personas</w:t>
      </w:r>
    </w:p>
    <w:p w:rsidR="00C25FDC" w:rsidRPr="00CF051D" w:rsidRDefault="00C25FDC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Integración y reintegración</w:t>
      </w:r>
    </w:p>
    <w:p w:rsidR="00C25FDC" w:rsidRPr="00CF051D" w:rsidRDefault="00C25FDC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Grupos vulnerables</w:t>
      </w:r>
    </w:p>
    <w:p w:rsidR="00F45C12" w:rsidRPr="00CF051D" w:rsidRDefault="00C25FDC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 xml:space="preserve">Discusión de los mecanismos de coordinación grupo Ad-hoc </w:t>
      </w:r>
    </w:p>
    <w:p w:rsidR="00C25FDC" w:rsidRPr="00CF051D" w:rsidRDefault="00C25FDC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CF051D">
        <w:rPr>
          <w:rFonts w:ascii="Arial" w:hAnsi="Arial" w:cs="Arial"/>
          <w:sz w:val="24"/>
        </w:rPr>
        <w:t>Toma de acuerdos finales y revisión de acta del encuentro para su socialización  en la reunión del Grupo Técnico de consulta de la CRM.</w:t>
      </w:r>
    </w:p>
    <w:p w:rsidR="00C25FDC" w:rsidRDefault="00C25FDC" w:rsidP="00C25FDC">
      <w:r>
        <w:t xml:space="preserve"> </w:t>
      </w:r>
    </w:p>
    <w:p w:rsidR="00C25FDC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5FDC" w:rsidSect="003C3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0F" w:rsidRDefault="007B180F" w:rsidP="00A5243F">
      <w:pPr>
        <w:spacing w:after="0" w:line="240" w:lineRule="auto"/>
      </w:pPr>
      <w:r>
        <w:separator/>
      </w:r>
    </w:p>
  </w:endnote>
  <w:endnote w:type="continuationSeparator" w:id="0">
    <w:p w:rsidR="007B180F" w:rsidRDefault="007B180F" w:rsidP="00A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9" w:rsidRDefault="007D557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8988"/>
      <w:docPartObj>
        <w:docPartGallery w:val="Page Numbers (Bottom of Page)"/>
        <w:docPartUnique/>
      </w:docPartObj>
    </w:sdtPr>
    <w:sdtContent>
      <w:p w:rsidR="007D5579" w:rsidRDefault="007D557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5579" w:rsidRDefault="007D557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9" w:rsidRDefault="007D55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0F" w:rsidRDefault="007B180F" w:rsidP="00A5243F">
      <w:pPr>
        <w:spacing w:after="0" w:line="240" w:lineRule="auto"/>
      </w:pPr>
      <w:r>
        <w:separator/>
      </w:r>
    </w:p>
  </w:footnote>
  <w:footnote w:type="continuationSeparator" w:id="0">
    <w:p w:rsidR="007B180F" w:rsidRDefault="007B180F" w:rsidP="00A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9" w:rsidRDefault="007D557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9" w:rsidRDefault="007D557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79" w:rsidRDefault="007D55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9FD"/>
    <w:multiLevelType w:val="hybridMultilevel"/>
    <w:tmpl w:val="712403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8CB"/>
    <w:multiLevelType w:val="hybridMultilevel"/>
    <w:tmpl w:val="A462CA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AEE"/>
    <w:multiLevelType w:val="hybridMultilevel"/>
    <w:tmpl w:val="E480B1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7058"/>
    <w:multiLevelType w:val="hybridMultilevel"/>
    <w:tmpl w:val="C366CC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96EDC"/>
    <w:multiLevelType w:val="hybridMultilevel"/>
    <w:tmpl w:val="7280175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35BE2"/>
    <w:multiLevelType w:val="hybridMultilevel"/>
    <w:tmpl w:val="595A27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C7C98"/>
    <w:multiLevelType w:val="hybridMultilevel"/>
    <w:tmpl w:val="FB523B6E"/>
    <w:lvl w:ilvl="0" w:tplc="627A3B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1C8"/>
    <w:rsid w:val="00180212"/>
    <w:rsid w:val="001B6930"/>
    <w:rsid w:val="001E6BEB"/>
    <w:rsid w:val="003C3E9F"/>
    <w:rsid w:val="00405164"/>
    <w:rsid w:val="0041428A"/>
    <w:rsid w:val="006B7D53"/>
    <w:rsid w:val="007001AE"/>
    <w:rsid w:val="007B180F"/>
    <w:rsid w:val="007D5579"/>
    <w:rsid w:val="008E21C8"/>
    <w:rsid w:val="00945C03"/>
    <w:rsid w:val="00960BCD"/>
    <w:rsid w:val="00A5243F"/>
    <w:rsid w:val="00AF4AEB"/>
    <w:rsid w:val="00C25FDC"/>
    <w:rsid w:val="00CF051D"/>
    <w:rsid w:val="00EA4B5D"/>
    <w:rsid w:val="00F4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9F"/>
  </w:style>
  <w:style w:type="paragraph" w:styleId="Ttulo4">
    <w:name w:val="heading 4"/>
    <w:basedOn w:val="Normal"/>
    <w:next w:val="Normal"/>
    <w:link w:val="Ttulo4Car"/>
    <w:uiPriority w:val="99"/>
    <w:qFormat/>
    <w:rsid w:val="007D5579"/>
    <w:pPr>
      <w:keepNext/>
      <w:spacing w:after="0" w:line="240" w:lineRule="auto"/>
      <w:jc w:val="center"/>
      <w:outlineLvl w:val="3"/>
    </w:pPr>
    <w:rPr>
      <w:rFonts w:ascii="Arial Black" w:eastAsia="Calibri" w:hAnsi="Arial Black" w:cs="Times New Roman"/>
      <w:b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7D5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7D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52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243F"/>
  </w:style>
  <w:style w:type="paragraph" w:styleId="Piedepgina">
    <w:name w:val="footer"/>
    <w:basedOn w:val="Normal"/>
    <w:link w:val="PiedepginaCar"/>
    <w:uiPriority w:val="99"/>
    <w:unhideWhenUsed/>
    <w:rsid w:val="00A52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3F"/>
  </w:style>
  <w:style w:type="character" w:customStyle="1" w:styleId="Ttulo4Car">
    <w:name w:val="Título 4 Car"/>
    <w:basedOn w:val="Fuentedeprrafopredeter"/>
    <w:link w:val="Ttulo4"/>
    <w:uiPriority w:val="99"/>
    <w:rsid w:val="007D5579"/>
    <w:rPr>
      <w:rFonts w:ascii="Arial Black" w:eastAsia="Calibri" w:hAnsi="Arial Black" w:cs="Times New Roman"/>
      <w:b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visitante</cp:lastModifiedBy>
  <cp:revision>2</cp:revision>
  <dcterms:created xsi:type="dcterms:W3CDTF">2012-12-05T18:39:00Z</dcterms:created>
  <dcterms:modified xsi:type="dcterms:W3CDTF">2012-12-05T18:39:00Z</dcterms:modified>
</cp:coreProperties>
</file>