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6A" w:rsidRPr="00391B97" w:rsidRDefault="00DF3F6A" w:rsidP="00200926">
      <w:pPr>
        <w:jc w:val="center"/>
        <w:rPr>
          <w:rFonts w:ascii="Adobe Caslon Pro" w:hAnsi="Adobe Caslon Pro"/>
          <w:b/>
          <w:sz w:val="24"/>
          <w:szCs w:val="24"/>
        </w:rPr>
      </w:pPr>
      <w:bookmarkStart w:id="0" w:name="_GoBack"/>
      <w:bookmarkEnd w:id="0"/>
      <w:r w:rsidRPr="00391B97">
        <w:rPr>
          <w:rFonts w:ascii="Adobe Caslon Pro" w:hAnsi="Adobe Caslon Pro"/>
          <w:b/>
          <w:sz w:val="24"/>
          <w:szCs w:val="24"/>
        </w:rPr>
        <w:t>Comentarios al Manual de Actuación en Materia de Trata de Personas</w:t>
      </w:r>
    </w:p>
    <w:p w:rsidR="00930296" w:rsidRPr="00391B97" w:rsidRDefault="00DF3F6A" w:rsidP="00391B97">
      <w:pPr>
        <w:jc w:val="both"/>
        <w:rPr>
          <w:rFonts w:ascii="Adobe Caslon Pro" w:hAnsi="Adobe Caslon Pro"/>
          <w:b/>
          <w:sz w:val="24"/>
          <w:szCs w:val="24"/>
        </w:rPr>
      </w:pPr>
      <w:r w:rsidRPr="00391B97">
        <w:rPr>
          <w:rFonts w:ascii="Adobe Caslon Pro" w:hAnsi="Adobe Caslon Pro"/>
          <w:b/>
          <w:sz w:val="24"/>
          <w:szCs w:val="24"/>
        </w:rPr>
        <w:t xml:space="preserve"> </w:t>
      </w:r>
    </w:p>
    <w:p w:rsidR="00DF3F6A" w:rsidRPr="00391B97" w:rsidRDefault="00DF3F6A" w:rsidP="00391B97">
      <w:pPr>
        <w:jc w:val="both"/>
        <w:rPr>
          <w:rFonts w:ascii="Adobe Caslon Pro" w:hAnsi="Adobe Caslon Pro"/>
          <w:sz w:val="24"/>
          <w:szCs w:val="24"/>
        </w:rPr>
      </w:pPr>
      <w:r w:rsidRPr="00391B97">
        <w:rPr>
          <w:rFonts w:ascii="Adobe Caslon Pro" w:hAnsi="Adobe Caslon Pro"/>
          <w:sz w:val="24"/>
          <w:szCs w:val="24"/>
        </w:rPr>
        <w:t>Objetivo</w:t>
      </w:r>
      <w:r w:rsidR="00200926">
        <w:rPr>
          <w:rFonts w:ascii="Adobe Caslon Pro" w:hAnsi="Adobe Caslon Pro"/>
          <w:sz w:val="24"/>
          <w:szCs w:val="24"/>
        </w:rPr>
        <w:t xml:space="preserve"> (página 6)</w:t>
      </w:r>
    </w:p>
    <w:p w:rsidR="00DF3F6A" w:rsidRPr="00391B97" w:rsidRDefault="00DF3F6A" w:rsidP="00391B97">
      <w:pPr>
        <w:jc w:val="both"/>
        <w:rPr>
          <w:rFonts w:ascii="Adobe Caslon Pro" w:hAnsi="Adobe Caslon Pro"/>
          <w:b/>
          <w:sz w:val="24"/>
          <w:szCs w:val="24"/>
        </w:rPr>
      </w:pPr>
      <w:r w:rsidRPr="00B7206A">
        <w:rPr>
          <w:rFonts w:ascii="Adobe Caslon Pro" w:hAnsi="Adobe Caslon Pro"/>
          <w:sz w:val="24"/>
          <w:szCs w:val="24"/>
          <w:u w:val="single"/>
          <w:shd w:val="clear" w:color="auto" w:fill="D9D9D9" w:themeFill="background1" w:themeFillShade="D9"/>
        </w:rPr>
        <w:t>Comentario</w:t>
      </w:r>
      <w:r w:rsidRPr="00B7206A">
        <w:rPr>
          <w:rFonts w:ascii="Adobe Caslon Pro" w:hAnsi="Adobe Caslon Pro"/>
          <w:sz w:val="24"/>
          <w:szCs w:val="24"/>
          <w:shd w:val="clear" w:color="auto" w:fill="D9D9D9" w:themeFill="background1" w:themeFillShade="D9"/>
        </w:rPr>
        <w:t>:</w:t>
      </w:r>
      <w:r w:rsidRPr="00391B97">
        <w:rPr>
          <w:rFonts w:ascii="Adobe Caslon Pro" w:hAnsi="Adobe Caslon Pro"/>
          <w:sz w:val="24"/>
          <w:szCs w:val="24"/>
        </w:rPr>
        <w:t xml:space="preserve"> Homogeneizar a lo largo del documento e incluir la frase </w:t>
      </w:r>
      <w:r w:rsidRPr="00391B97">
        <w:rPr>
          <w:rFonts w:ascii="Adobe Caslon Pro" w:hAnsi="Adobe Caslon Pro"/>
          <w:b/>
          <w:sz w:val="24"/>
          <w:szCs w:val="24"/>
        </w:rPr>
        <w:t>y/o Secretarías</w:t>
      </w:r>
    </w:p>
    <w:p w:rsidR="00DF3F6A" w:rsidRPr="00391B97" w:rsidRDefault="00DF3F6A" w:rsidP="00391B97">
      <w:pPr>
        <w:jc w:val="both"/>
        <w:rPr>
          <w:rFonts w:ascii="Adobe Caslon Pro" w:hAnsi="Adobe Caslon Pro"/>
          <w:sz w:val="24"/>
          <w:szCs w:val="24"/>
        </w:rPr>
      </w:pPr>
      <w:r w:rsidRPr="00391B97">
        <w:rPr>
          <w:rFonts w:ascii="Adobe Caslon Pro" w:hAnsi="Adobe Caslon Pro"/>
          <w:sz w:val="24"/>
          <w:szCs w:val="24"/>
        </w:rPr>
        <w:t>Marco Jurídico</w:t>
      </w:r>
      <w:r w:rsidR="00200926">
        <w:rPr>
          <w:rFonts w:ascii="Adobe Caslon Pro" w:hAnsi="Adobe Caslon Pro"/>
          <w:sz w:val="24"/>
          <w:szCs w:val="24"/>
        </w:rPr>
        <w:t xml:space="preserve"> (página 6)</w:t>
      </w:r>
    </w:p>
    <w:p w:rsidR="00DF3F6A" w:rsidRPr="00391B97" w:rsidRDefault="00DF3F6A" w:rsidP="00391B97">
      <w:pPr>
        <w:jc w:val="both"/>
        <w:rPr>
          <w:rFonts w:ascii="Adobe Caslon Pro" w:hAnsi="Adobe Caslon Pro"/>
          <w:sz w:val="24"/>
          <w:szCs w:val="24"/>
        </w:rPr>
      </w:pPr>
      <w:r w:rsidRPr="00B7206A">
        <w:rPr>
          <w:rFonts w:ascii="Adobe Caslon Pro" w:hAnsi="Adobe Caslon Pro"/>
          <w:sz w:val="24"/>
          <w:szCs w:val="24"/>
          <w:u w:val="single"/>
          <w:shd w:val="clear" w:color="auto" w:fill="D9D9D9" w:themeFill="background1" w:themeFillShade="D9"/>
        </w:rPr>
        <w:t>Comentario:</w:t>
      </w:r>
      <w:r w:rsidR="00391B97">
        <w:rPr>
          <w:rFonts w:ascii="Adobe Caslon Pro" w:hAnsi="Adobe Caslon Pro"/>
          <w:sz w:val="24"/>
          <w:szCs w:val="24"/>
          <w:u w:val="single"/>
        </w:rPr>
        <w:t xml:space="preserve"> </w:t>
      </w:r>
      <w:r w:rsidR="006D155D" w:rsidRPr="00391B97">
        <w:rPr>
          <w:rFonts w:ascii="Adobe Caslon Pro" w:hAnsi="Adobe Caslon Pro"/>
          <w:sz w:val="24"/>
          <w:szCs w:val="24"/>
        </w:rPr>
        <w:t xml:space="preserve">En la sección correspondiente a Derechos Humanos incluir también la </w:t>
      </w:r>
      <w:r w:rsidR="006D155D" w:rsidRPr="00391B97">
        <w:rPr>
          <w:rFonts w:ascii="Adobe Caslon Pro" w:hAnsi="Adobe Caslon Pro"/>
          <w:b/>
          <w:sz w:val="24"/>
          <w:szCs w:val="24"/>
        </w:rPr>
        <w:t xml:space="preserve">Convención  sobre la Eliminación de Todas las Formas de Discriminación contra la Mujer (1979), </w:t>
      </w:r>
      <w:r w:rsidR="006D155D" w:rsidRPr="00391B97">
        <w:rPr>
          <w:rFonts w:ascii="Adobe Caslon Pro" w:hAnsi="Adobe Caslon Pro"/>
          <w:sz w:val="24"/>
          <w:szCs w:val="24"/>
        </w:rPr>
        <w:t>lo anterior con fundamento en su artículo 6 relacionado con las medidas que deberán adoptar los Estados Parte en materia legislativa para suprimir las formas de trata de mujeres.</w:t>
      </w:r>
    </w:p>
    <w:p w:rsidR="00391B97" w:rsidRPr="00391B97" w:rsidRDefault="00391B97" w:rsidP="00391B97">
      <w:pPr>
        <w:jc w:val="both"/>
        <w:rPr>
          <w:rFonts w:ascii="Adobe Caslon Pro" w:hAnsi="Adobe Caslon Pro"/>
          <w:sz w:val="24"/>
          <w:szCs w:val="24"/>
        </w:rPr>
      </w:pPr>
      <w:r w:rsidRPr="00391B97">
        <w:rPr>
          <w:rFonts w:ascii="Adobe Caslon Pro" w:hAnsi="Adobe Caslon Pro"/>
          <w:sz w:val="24"/>
          <w:szCs w:val="24"/>
        </w:rPr>
        <w:t>En este mismo apartado, se sugiere eliminar los acuerdos y tratados alusivos a la trata de esclavos o la trata de blancas, ya que dichos marcos jurídicos  si bien no han sido derogados se encuentran en desuso y han sido superados por su abordaje integral y los conceptos más amplios que se establecen en el Protocolo de Palermo contra la Trata de Personas.</w:t>
      </w:r>
    </w:p>
    <w:p w:rsidR="00391B97" w:rsidRPr="00146EF3" w:rsidRDefault="00146EF3" w:rsidP="00391B97">
      <w:pPr>
        <w:jc w:val="both"/>
        <w:rPr>
          <w:rFonts w:ascii="Adobe Caslon Pro" w:hAnsi="Adobe Caslon Pro"/>
          <w:b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Asimismo, en dicha sección v</w:t>
      </w:r>
      <w:r w:rsidR="00391B97" w:rsidRPr="00391B97">
        <w:rPr>
          <w:rFonts w:ascii="Adobe Caslon Pro" w:hAnsi="Adobe Caslon Pro"/>
          <w:sz w:val="24"/>
          <w:szCs w:val="24"/>
        </w:rPr>
        <w:t xml:space="preserve">aldría la pena incluir también menciones tanto al </w:t>
      </w:r>
      <w:r w:rsidR="00391B97" w:rsidRPr="00146EF3">
        <w:rPr>
          <w:rFonts w:ascii="Adobe Caslon Pro" w:hAnsi="Adobe Caslon Pro"/>
          <w:b/>
          <w:sz w:val="24"/>
          <w:szCs w:val="24"/>
        </w:rPr>
        <w:t xml:space="preserve">Plan de Acción Mundial </w:t>
      </w:r>
      <w:r w:rsidRPr="00146EF3">
        <w:rPr>
          <w:rFonts w:ascii="Adobe Caslon Pro" w:hAnsi="Adobe Caslon Pro"/>
          <w:b/>
          <w:sz w:val="24"/>
          <w:szCs w:val="24"/>
        </w:rPr>
        <w:t xml:space="preserve">de las Naciones Unidas </w:t>
      </w:r>
      <w:r w:rsidR="00391B97" w:rsidRPr="00146EF3">
        <w:rPr>
          <w:rFonts w:ascii="Adobe Caslon Pro" w:hAnsi="Adobe Caslon Pro"/>
          <w:b/>
          <w:sz w:val="24"/>
          <w:szCs w:val="24"/>
        </w:rPr>
        <w:t>contra la Trata de Personas</w:t>
      </w:r>
      <w:r w:rsidRPr="00146EF3">
        <w:rPr>
          <w:rFonts w:ascii="Adobe Caslon Pro" w:hAnsi="Adobe Caslon Pro"/>
          <w:b/>
          <w:sz w:val="24"/>
          <w:szCs w:val="24"/>
        </w:rPr>
        <w:t xml:space="preserve"> (2010)</w:t>
      </w:r>
      <w:r w:rsidR="00391B97" w:rsidRPr="00146EF3">
        <w:rPr>
          <w:rFonts w:ascii="Adobe Caslon Pro" w:hAnsi="Adobe Caslon Pro"/>
          <w:b/>
          <w:sz w:val="24"/>
          <w:szCs w:val="24"/>
        </w:rPr>
        <w:t xml:space="preserve"> y al Plan de Trabajo contra la Trata de Personas </w:t>
      </w:r>
      <w:r w:rsidRPr="00146EF3">
        <w:rPr>
          <w:rFonts w:ascii="Adobe Caslon Pro" w:hAnsi="Adobe Caslon Pro"/>
          <w:b/>
          <w:sz w:val="24"/>
          <w:szCs w:val="24"/>
        </w:rPr>
        <w:t>en el Hemisferio Occidental (2010)</w:t>
      </w:r>
    </w:p>
    <w:p w:rsidR="00391B97" w:rsidRDefault="00146EF3" w:rsidP="00391B97">
      <w:pPr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Se hace notar a la atención de la DGOMRA que México no es Parte de los siguientes instrumentos a los que se alude en el Manual </w:t>
      </w:r>
      <w:r w:rsidR="00200926">
        <w:rPr>
          <w:rFonts w:ascii="Adobe Caslon Pro" w:hAnsi="Adobe Caslon Pro"/>
          <w:sz w:val="24"/>
          <w:szCs w:val="24"/>
        </w:rPr>
        <w:t xml:space="preserve">(página 7) </w:t>
      </w:r>
      <w:r>
        <w:rPr>
          <w:rFonts w:ascii="Adobe Caslon Pro" w:hAnsi="Adobe Caslon Pro"/>
          <w:sz w:val="24"/>
          <w:szCs w:val="24"/>
        </w:rPr>
        <w:t>a saber: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686"/>
      </w:tblGrid>
      <w:tr w:rsidR="00CF6F69" w:rsidRPr="00CF6F69" w:rsidTr="00CF6F69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Convenio 81 sobre la inspección del trabajo de la OIT (1947)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jc w:val="center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México No ha ratificado</w:t>
            </w:r>
          </w:p>
        </w:tc>
      </w:tr>
      <w:tr w:rsidR="00CF6F69" w:rsidRPr="00CF6F69" w:rsidTr="00CF6F69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Convenio 101 sobre las vacaciones pagadas (agricultura) (1952).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jc w:val="center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México No ha ratificado</w:t>
            </w:r>
          </w:p>
        </w:tc>
      </w:tr>
      <w:tr w:rsidR="00CF6F69" w:rsidRPr="00CF6F69" w:rsidTr="00CF6F69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Convenio 114 sobre el contrato de enrolamiento de los pescadores (1959).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jc w:val="center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México No ha ratificado</w:t>
            </w:r>
          </w:p>
        </w:tc>
      </w:tr>
      <w:tr w:rsidR="00CF6F69" w:rsidRPr="00CF6F69" w:rsidTr="00CF6F69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Protocolo de 1995 relativo al Convenio 81 de la OIT sobre la inspección del trabajo (1947).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jc w:val="center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México No ha ratificado</w:t>
            </w:r>
          </w:p>
        </w:tc>
      </w:tr>
      <w:tr w:rsidR="00CF6F69" w:rsidRPr="00CF6F69" w:rsidTr="00CF6F69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Convenio 122 de la OIT sobre Política del Empleo (1964).</w:t>
            </w:r>
          </w:p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jc w:val="center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México No ha ratificado</w:t>
            </w:r>
          </w:p>
        </w:tc>
      </w:tr>
      <w:tr w:rsidR="00CF6F69" w:rsidRPr="00CF6F69" w:rsidTr="00CF6F69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t>Recomendación 198 sobre la relación de trabajo (2006).</w:t>
            </w:r>
          </w:p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jc w:val="center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</w:p>
        </w:tc>
      </w:tr>
      <w:tr w:rsidR="00CF6F69" w:rsidRPr="00CF6F69" w:rsidTr="00CF6F69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69" w:rsidRPr="00CF6F69" w:rsidRDefault="00CF6F69" w:rsidP="00CF6F6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F6F69">
              <w:rPr>
                <w:rFonts w:ascii="Calibri" w:eastAsia="Calibri" w:hAnsi="Calibri" w:cs="Times New Roman"/>
                <w:color w:val="000000"/>
                <w:sz w:val="23"/>
                <w:szCs w:val="23"/>
              </w:rPr>
              <w:t xml:space="preserve">Convenio 181 sobre las agencias de empleo privadas </w:t>
            </w:r>
            <w:r w:rsidRPr="00CF6F69">
              <w:rPr>
                <w:rFonts w:ascii="Calibri" w:eastAsia="Calibri" w:hAnsi="Calibri" w:cs="Times New Roman"/>
                <w:color w:val="000000"/>
                <w:sz w:val="23"/>
                <w:szCs w:val="23"/>
              </w:rPr>
              <w:lastRenderedPageBreak/>
              <w:t xml:space="preserve">(1997).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F69" w:rsidRPr="00CF6F69" w:rsidRDefault="00CF6F69" w:rsidP="00CF6F69">
            <w:pPr>
              <w:autoSpaceDE w:val="0"/>
              <w:autoSpaceDN w:val="0"/>
              <w:spacing w:after="0" w:line="241" w:lineRule="atLeast"/>
              <w:jc w:val="center"/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</w:pPr>
            <w:r w:rsidRPr="00CF6F69">
              <w:rPr>
                <w:rFonts w:ascii="Myriad Pro" w:eastAsia="Calibri" w:hAnsi="Myriad Pro" w:cs="Times New Roman"/>
                <w:color w:val="000000"/>
                <w:sz w:val="23"/>
                <w:szCs w:val="23"/>
              </w:rPr>
              <w:lastRenderedPageBreak/>
              <w:t>México No ha ratificado</w:t>
            </w:r>
          </w:p>
        </w:tc>
      </w:tr>
    </w:tbl>
    <w:p w:rsidR="00146EF3" w:rsidRDefault="00146EF3" w:rsidP="00391B97">
      <w:pPr>
        <w:jc w:val="both"/>
        <w:rPr>
          <w:rFonts w:ascii="Adobe Caslon Pro" w:hAnsi="Adobe Caslon Pro"/>
          <w:sz w:val="24"/>
          <w:szCs w:val="24"/>
        </w:rPr>
      </w:pPr>
    </w:p>
    <w:p w:rsidR="00146EF3" w:rsidRDefault="00CF6F69" w:rsidP="00391B97">
      <w:pPr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I </w:t>
      </w:r>
      <w:r w:rsidR="00200926">
        <w:rPr>
          <w:rFonts w:ascii="Adobe Caslon Pro" w:hAnsi="Adobe Caslon Pro"/>
          <w:sz w:val="24"/>
          <w:szCs w:val="24"/>
        </w:rPr>
        <w:t xml:space="preserve">Parte </w:t>
      </w:r>
      <w:r>
        <w:rPr>
          <w:rFonts w:ascii="Adobe Caslon Pro" w:hAnsi="Adobe Caslon Pro"/>
          <w:sz w:val="24"/>
          <w:szCs w:val="24"/>
        </w:rPr>
        <w:t>(página 11)</w:t>
      </w:r>
    </w:p>
    <w:p w:rsidR="00CF6F69" w:rsidRDefault="00CF6F69" w:rsidP="00CF6F69">
      <w:pPr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A.2) Preparativos para la prestación de asistencia</w:t>
      </w:r>
    </w:p>
    <w:p w:rsidR="00CF6F69" w:rsidRDefault="00CF6F69" w:rsidP="00CF6F69">
      <w:pPr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b) El marco legal y normativo que rige lo relacionado con el delito de trata de personas</w:t>
      </w:r>
    </w:p>
    <w:p w:rsidR="00CF6F69" w:rsidRDefault="00CF6F69" w:rsidP="00391B97">
      <w:pPr>
        <w:jc w:val="both"/>
        <w:rPr>
          <w:rFonts w:ascii="Adobe Caslon Pro" w:hAnsi="Adobe Caslon Pro"/>
          <w:sz w:val="24"/>
          <w:szCs w:val="24"/>
        </w:rPr>
      </w:pPr>
    </w:p>
    <w:p w:rsidR="001B743A" w:rsidRDefault="00CF6F69" w:rsidP="001B743A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626464"/>
          <w:sz w:val="24"/>
          <w:szCs w:val="24"/>
        </w:rPr>
      </w:pPr>
      <w:r w:rsidRPr="00B7206A">
        <w:rPr>
          <w:rFonts w:ascii="Adobe Caslon Pro" w:hAnsi="Adobe Caslon Pro"/>
          <w:sz w:val="24"/>
          <w:szCs w:val="24"/>
          <w:u w:val="single"/>
          <w:shd w:val="clear" w:color="auto" w:fill="D9D9D9" w:themeFill="background1" w:themeFillShade="D9"/>
        </w:rPr>
        <w:t>Comentario</w:t>
      </w:r>
      <w:proofErr w:type="gramStart"/>
      <w:r w:rsidRPr="00B7206A">
        <w:rPr>
          <w:rFonts w:ascii="Adobe Caslon Pro" w:hAnsi="Adobe Caslon Pro"/>
          <w:sz w:val="24"/>
          <w:szCs w:val="24"/>
          <w:u w:val="single"/>
          <w:shd w:val="clear" w:color="auto" w:fill="D9D9D9" w:themeFill="background1" w:themeFillShade="D9"/>
        </w:rPr>
        <w:t>:</w:t>
      </w:r>
      <w:r>
        <w:rPr>
          <w:rFonts w:ascii="Adobe Caslon Pro" w:hAnsi="Adobe Caslon Pro"/>
          <w:sz w:val="24"/>
          <w:szCs w:val="24"/>
          <w:u w:val="single"/>
        </w:rPr>
        <w:t xml:space="preserve"> </w:t>
      </w:r>
      <w:r w:rsidRPr="00CF6F69">
        <w:rPr>
          <w:rFonts w:ascii="Adobe Caslon Pro" w:hAnsi="Adobe Caslon Pro"/>
          <w:sz w:val="24"/>
          <w:szCs w:val="24"/>
        </w:rPr>
        <w:t xml:space="preserve"> Se</w:t>
      </w:r>
      <w:proofErr w:type="gramEnd"/>
      <w:r w:rsidRPr="00CF6F69">
        <w:rPr>
          <w:rFonts w:ascii="Adobe Caslon Pro" w:hAnsi="Adobe Caslon Pro"/>
          <w:sz w:val="24"/>
          <w:szCs w:val="24"/>
        </w:rPr>
        <w:t xml:space="preserve"> sugiere incluir la siguiente propuesta</w:t>
      </w:r>
      <w:r>
        <w:rPr>
          <w:rFonts w:ascii="Adobe Caslon Pro" w:hAnsi="Adobe Caslon Pro"/>
          <w:sz w:val="24"/>
          <w:szCs w:val="24"/>
        </w:rPr>
        <w:t xml:space="preserve">:  </w:t>
      </w:r>
      <w:r w:rsidRPr="00CF6F69">
        <w:rPr>
          <w:rFonts w:ascii="Adobe Caslon Pro" w:hAnsi="Adobe Caslon Pro"/>
          <w:b/>
          <w:sz w:val="24"/>
          <w:szCs w:val="24"/>
        </w:rPr>
        <w:t>“El Estado cuenta con medidas legales para el cambio de identidad y residencia para las víctimas de trata de personas</w:t>
      </w:r>
      <w:r w:rsidR="001B743A">
        <w:rPr>
          <w:rFonts w:ascii="Adobe Caslon Pro" w:hAnsi="Adobe Caslon Pro"/>
          <w:b/>
          <w:sz w:val="24"/>
          <w:szCs w:val="24"/>
        </w:rPr>
        <w:t xml:space="preserve"> cuando los sujetos activos sean miembros de la delincuencia organizada nacional o transnacional”.</w:t>
      </w:r>
      <w:r w:rsidR="001B743A" w:rsidRPr="001B743A"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 La propuesta obedece a que en algunos casos dicha acción facilitaría y fortalecería los mecanismos de protección integral para sus víctimas. Dicha propuesta está fundada y motivada en los artículos 62 fracción VII y 63 de la Ley General </w:t>
      </w:r>
      <w:r w:rsidR="001B743A">
        <w:rPr>
          <w:rFonts w:ascii="Adobe Caslon Pro" w:eastAsia="Times New Roman" w:hAnsi="Adobe Caslon Pro" w:cs="Times New Roman"/>
          <w:color w:val="626464"/>
          <w:sz w:val="24"/>
          <w:szCs w:val="24"/>
        </w:rPr>
        <w:t>para Prevenir, S</w:t>
      </w:r>
      <w:r w:rsidR="001C0E66">
        <w:rPr>
          <w:rFonts w:ascii="Adobe Caslon Pro" w:eastAsia="Times New Roman" w:hAnsi="Adobe Caslon Pro" w:cs="Times New Roman"/>
          <w:color w:val="626464"/>
          <w:sz w:val="24"/>
          <w:szCs w:val="24"/>
        </w:rPr>
        <w:t>ancionar</w:t>
      </w:r>
      <w:r w:rsidR="001B743A"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 </w:t>
      </w:r>
      <w:r w:rsidR="001C0E66"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 </w:t>
      </w:r>
      <w:r w:rsidR="001B743A"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y </w:t>
      </w:r>
      <w:r w:rsidR="001C0E66"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Erradicar </w:t>
      </w:r>
      <w:r w:rsidR="001B743A"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 los Delitos en Materia de Trata de Personas</w:t>
      </w:r>
      <w:r w:rsidR="001C0E66"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 y para la Protección y Asistencia a las Víctimas de estos Delitos.</w:t>
      </w:r>
    </w:p>
    <w:p w:rsidR="001C0E66" w:rsidRDefault="001C0E66" w:rsidP="001B743A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626464"/>
          <w:sz w:val="24"/>
          <w:szCs w:val="24"/>
        </w:rPr>
      </w:pPr>
    </w:p>
    <w:p w:rsidR="001C0E66" w:rsidRDefault="00B7206A" w:rsidP="001B743A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626464"/>
          <w:sz w:val="24"/>
          <w:szCs w:val="24"/>
        </w:rPr>
      </w:pPr>
      <w:r>
        <w:rPr>
          <w:rFonts w:ascii="Adobe Caslon Pro" w:eastAsia="Times New Roman" w:hAnsi="Adobe Caslon Pro" w:cs="Times New Roman"/>
          <w:color w:val="626464"/>
          <w:sz w:val="24"/>
          <w:szCs w:val="24"/>
        </w:rPr>
        <w:t>c) Los programas y servicios existentes y el mecanismo para acc</w:t>
      </w:r>
      <w:r w:rsidR="007B2741">
        <w:rPr>
          <w:rFonts w:ascii="Adobe Caslon Pro" w:eastAsia="Times New Roman" w:hAnsi="Adobe Caslon Pro" w:cs="Times New Roman"/>
          <w:color w:val="626464"/>
          <w:sz w:val="24"/>
          <w:szCs w:val="24"/>
        </w:rPr>
        <w:t>eder a ellos (página 12)</w:t>
      </w:r>
    </w:p>
    <w:p w:rsidR="00B7206A" w:rsidRDefault="00B7206A" w:rsidP="001B743A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626464"/>
          <w:sz w:val="24"/>
          <w:szCs w:val="24"/>
        </w:rPr>
      </w:pPr>
    </w:p>
    <w:p w:rsidR="00B7206A" w:rsidRPr="00B7206A" w:rsidRDefault="00B7206A" w:rsidP="001B743A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626464"/>
          <w:sz w:val="24"/>
          <w:szCs w:val="24"/>
        </w:rPr>
      </w:pPr>
      <w:r w:rsidRPr="00B7206A">
        <w:rPr>
          <w:rFonts w:ascii="Adobe Caslon Pro" w:eastAsia="Times New Roman" w:hAnsi="Adobe Caslon Pro" w:cs="Times New Roman"/>
          <w:b/>
          <w:color w:val="626464"/>
          <w:sz w:val="24"/>
          <w:szCs w:val="24"/>
          <w:u w:val="single"/>
          <w:shd w:val="clear" w:color="auto" w:fill="D9D9D9" w:themeFill="background1" w:themeFillShade="D9"/>
        </w:rPr>
        <w:t>Comentario</w:t>
      </w:r>
      <w:proofErr w:type="gramStart"/>
      <w:r>
        <w:rPr>
          <w:rFonts w:ascii="Adobe Caslon Pro" w:eastAsia="Times New Roman" w:hAnsi="Adobe Caslon Pro" w:cs="Times New Roman"/>
          <w:color w:val="626464"/>
          <w:sz w:val="24"/>
          <w:szCs w:val="24"/>
        </w:rPr>
        <w:t>:  En</w:t>
      </w:r>
      <w:proofErr w:type="gramEnd"/>
      <w:r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 dicho apartado al final, tal vez se considere agregar un párrafo que lea como sigue: </w:t>
      </w:r>
      <w:r w:rsidRPr="00B7206A">
        <w:rPr>
          <w:rFonts w:ascii="Adobe Caslon Pro" w:eastAsia="Times New Roman" w:hAnsi="Adobe Caslon Pro" w:cs="Times New Roman"/>
          <w:b/>
          <w:color w:val="626464"/>
          <w:sz w:val="24"/>
          <w:szCs w:val="24"/>
        </w:rPr>
        <w:t>Incluso se podrían suscribir acuerdos de cooperación entre las representaciones consulares y diplomáticas con las organizaciones de la sociedad civil para un trabajo concertado a favor de las víctimas de este delito.</w:t>
      </w:r>
    </w:p>
    <w:p w:rsidR="001C0E66" w:rsidRPr="001B743A" w:rsidRDefault="001C0E66" w:rsidP="001B743A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626464"/>
          <w:sz w:val="24"/>
          <w:szCs w:val="24"/>
        </w:rPr>
      </w:pPr>
    </w:p>
    <w:p w:rsidR="001C0E66" w:rsidRDefault="00B7206A" w:rsidP="00391B97">
      <w:pPr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A.3) Procedimientos para la protección y asistencia</w:t>
      </w:r>
      <w:r w:rsidR="007A6E8D">
        <w:rPr>
          <w:rFonts w:ascii="Adobe Caslon Pro" w:hAnsi="Adobe Caslon Pro"/>
          <w:sz w:val="24"/>
          <w:szCs w:val="24"/>
        </w:rPr>
        <w:t xml:space="preserve"> (página 12)</w:t>
      </w:r>
    </w:p>
    <w:p w:rsidR="00B7206A" w:rsidRDefault="00B7206A" w:rsidP="00391B97">
      <w:pPr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1.- Identificación preliminar de la </w:t>
      </w:r>
      <w:proofErr w:type="spellStart"/>
      <w:r>
        <w:rPr>
          <w:rFonts w:ascii="Adobe Caslon Pro" w:hAnsi="Adobe Caslon Pro"/>
          <w:sz w:val="24"/>
          <w:szCs w:val="24"/>
        </w:rPr>
        <w:t>VdT</w:t>
      </w:r>
      <w:proofErr w:type="spellEnd"/>
    </w:p>
    <w:p w:rsidR="00B7206A" w:rsidRDefault="00B7206A" w:rsidP="00391B97">
      <w:pPr>
        <w:jc w:val="both"/>
        <w:rPr>
          <w:rFonts w:ascii="Adobe Caslon Pro" w:hAnsi="Adobe Caslon Pro"/>
          <w:sz w:val="24"/>
          <w:szCs w:val="24"/>
        </w:rPr>
      </w:pPr>
    </w:p>
    <w:p w:rsidR="00B7206A" w:rsidRPr="007A6E8D" w:rsidRDefault="00B7206A" w:rsidP="00391B97">
      <w:pPr>
        <w:jc w:val="both"/>
        <w:rPr>
          <w:rFonts w:ascii="Adobe Caslon Pro" w:hAnsi="Adobe Caslon Pro"/>
          <w:b/>
          <w:sz w:val="24"/>
          <w:szCs w:val="24"/>
        </w:rPr>
      </w:pPr>
      <w:r w:rsidRPr="007A6E8D">
        <w:rPr>
          <w:rFonts w:ascii="Adobe Caslon Pro" w:hAnsi="Adobe Caslon Pro"/>
          <w:b/>
          <w:sz w:val="24"/>
          <w:szCs w:val="24"/>
          <w:u w:val="single"/>
          <w:shd w:val="clear" w:color="auto" w:fill="D9D9D9" w:themeFill="background1" w:themeFillShade="D9"/>
        </w:rPr>
        <w:t>Comentario</w:t>
      </w:r>
      <w:r w:rsidRPr="007A6E8D">
        <w:rPr>
          <w:rFonts w:ascii="Adobe Caslon Pro" w:hAnsi="Adobe Caslon Pro"/>
          <w:sz w:val="24"/>
          <w:szCs w:val="24"/>
          <w:shd w:val="clear" w:color="auto" w:fill="D9D9D9" w:themeFill="background1" w:themeFillShade="D9"/>
        </w:rPr>
        <w:t>:</w:t>
      </w:r>
      <w:r w:rsidRPr="00B7206A">
        <w:rPr>
          <w:rFonts w:ascii="Adobe Caslon Pro" w:hAnsi="Adobe Caslon Pro"/>
          <w:sz w:val="24"/>
          <w:szCs w:val="24"/>
        </w:rPr>
        <w:t xml:space="preserve">   Se sugiere la inclusión al final de este apartado del siguiente párrafo:</w:t>
      </w:r>
      <w:r>
        <w:rPr>
          <w:rFonts w:ascii="Adobe Caslon Pro" w:hAnsi="Adobe Caslon Pro"/>
          <w:sz w:val="24"/>
          <w:szCs w:val="24"/>
        </w:rPr>
        <w:t xml:space="preserve"> </w:t>
      </w:r>
      <w:r w:rsidRPr="007A6E8D">
        <w:rPr>
          <w:rFonts w:ascii="Adobe Caslon Pro" w:hAnsi="Adobe Caslon Pro"/>
          <w:b/>
          <w:sz w:val="24"/>
          <w:szCs w:val="24"/>
        </w:rPr>
        <w:t xml:space="preserve">“Asimismo, se deberán tomar todas las medidas necesarias para asegurarse de no </w:t>
      </w:r>
      <w:proofErr w:type="spellStart"/>
      <w:r w:rsidRPr="007A6E8D">
        <w:rPr>
          <w:rFonts w:ascii="Adobe Caslon Pro" w:hAnsi="Adobe Caslon Pro"/>
          <w:b/>
          <w:sz w:val="24"/>
          <w:szCs w:val="24"/>
        </w:rPr>
        <w:t>revictimiza</w:t>
      </w:r>
      <w:r w:rsidR="007A6E8D" w:rsidRPr="007A6E8D">
        <w:rPr>
          <w:rFonts w:ascii="Adobe Caslon Pro" w:hAnsi="Adobe Caslon Pro"/>
          <w:b/>
          <w:sz w:val="24"/>
          <w:szCs w:val="24"/>
        </w:rPr>
        <w:t>r</w:t>
      </w:r>
      <w:proofErr w:type="spellEnd"/>
      <w:r w:rsidR="007A6E8D" w:rsidRPr="007A6E8D">
        <w:rPr>
          <w:rFonts w:ascii="Adobe Caslon Pro" w:hAnsi="Adobe Caslon Pro"/>
          <w:b/>
          <w:sz w:val="24"/>
          <w:szCs w:val="24"/>
        </w:rPr>
        <w:t xml:space="preserve"> a las víctimas de este delito”</w:t>
      </w:r>
      <w:r w:rsidR="007A6E8D">
        <w:rPr>
          <w:rFonts w:ascii="Adobe Caslon Pro" w:hAnsi="Adobe Caslon Pro"/>
          <w:b/>
          <w:sz w:val="24"/>
          <w:szCs w:val="24"/>
        </w:rPr>
        <w:t>.</w:t>
      </w:r>
    </w:p>
    <w:p w:rsidR="007A6E8D" w:rsidRDefault="007A6E8D" w:rsidP="00391B97">
      <w:pPr>
        <w:jc w:val="both"/>
        <w:rPr>
          <w:rFonts w:ascii="Adobe Caslon Pro" w:hAnsi="Adobe Caslon Pro"/>
          <w:sz w:val="24"/>
          <w:szCs w:val="24"/>
        </w:rPr>
      </w:pPr>
      <w:r w:rsidRPr="007A6E8D">
        <w:rPr>
          <w:rFonts w:ascii="Adobe Caslon Pro" w:hAnsi="Adobe Caslon Pro"/>
          <w:sz w:val="24"/>
          <w:szCs w:val="24"/>
          <w:u w:val="single"/>
        </w:rPr>
        <w:t xml:space="preserve">Indicadores generales que pueden despertar sospecha de que la persona sea una </w:t>
      </w:r>
      <w:proofErr w:type="spellStart"/>
      <w:r w:rsidRPr="007A6E8D">
        <w:rPr>
          <w:rFonts w:ascii="Adobe Caslon Pro" w:hAnsi="Adobe Caslon Pro"/>
          <w:sz w:val="24"/>
          <w:szCs w:val="24"/>
          <w:u w:val="single"/>
        </w:rPr>
        <w:t>VdT</w:t>
      </w:r>
      <w:proofErr w:type="spellEnd"/>
      <w:r>
        <w:rPr>
          <w:rFonts w:ascii="Adobe Caslon Pro" w:hAnsi="Adobe Caslon Pro"/>
          <w:sz w:val="24"/>
          <w:szCs w:val="24"/>
        </w:rPr>
        <w:t xml:space="preserve"> (página 13)</w:t>
      </w:r>
    </w:p>
    <w:p w:rsidR="007A6E8D" w:rsidRPr="007A6E8D" w:rsidRDefault="007A6E8D" w:rsidP="00391B97">
      <w:pPr>
        <w:jc w:val="both"/>
        <w:rPr>
          <w:rFonts w:ascii="Adobe Caslon Pro" w:hAnsi="Adobe Caslon Pro"/>
          <w:b/>
          <w:sz w:val="24"/>
          <w:szCs w:val="24"/>
        </w:rPr>
      </w:pPr>
      <w:r w:rsidRPr="007A6E8D">
        <w:rPr>
          <w:rFonts w:ascii="Adobe Caslon Pro" w:hAnsi="Adobe Caslon Pro"/>
          <w:b/>
          <w:sz w:val="24"/>
          <w:szCs w:val="24"/>
          <w:u w:val="single"/>
          <w:shd w:val="clear" w:color="auto" w:fill="D9D9D9" w:themeFill="background1" w:themeFillShade="D9"/>
        </w:rPr>
        <w:t>Comentario</w:t>
      </w:r>
      <w:proofErr w:type="gramStart"/>
      <w:r w:rsidRPr="007A6E8D">
        <w:rPr>
          <w:rFonts w:ascii="Adobe Caslon Pro" w:hAnsi="Adobe Caslon Pro"/>
          <w:b/>
          <w:sz w:val="24"/>
          <w:szCs w:val="24"/>
          <w:u w:val="single"/>
          <w:shd w:val="clear" w:color="auto" w:fill="D9D9D9" w:themeFill="background1" w:themeFillShade="D9"/>
        </w:rPr>
        <w:t>:</w:t>
      </w:r>
      <w:r>
        <w:rPr>
          <w:rFonts w:ascii="Adobe Caslon Pro" w:hAnsi="Adobe Caslon Pro"/>
          <w:sz w:val="24"/>
          <w:szCs w:val="24"/>
        </w:rPr>
        <w:t xml:space="preserve">  Al</w:t>
      </w:r>
      <w:proofErr w:type="gramEnd"/>
      <w:r>
        <w:rPr>
          <w:rFonts w:ascii="Adobe Caslon Pro" w:hAnsi="Adobe Caslon Pro"/>
          <w:sz w:val="24"/>
          <w:szCs w:val="24"/>
        </w:rPr>
        <w:t xml:space="preserve"> final de esta sección y de estimarlo conveniente, se sugiere la siguiente frase: “</w:t>
      </w:r>
      <w:r w:rsidRPr="007A6E8D">
        <w:rPr>
          <w:rFonts w:ascii="Adobe Caslon Pro" w:hAnsi="Adobe Caslon Pro"/>
          <w:b/>
          <w:sz w:val="24"/>
          <w:szCs w:val="24"/>
        </w:rPr>
        <w:t>Especial atención merecen las personas con discapacidad, en particular sordomudos, por lo que los funcionarios (as) de las representaciones consular y/o diplomática</w:t>
      </w:r>
      <w:r w:rsidR="007B2741">
        <w:rPr>
          <w:rFonts w:ascii="Adobe Caslon Pro" w:hAnsi="Adobe Caslon Pro"/>
          <w:b/>
          <w:sz w:val="24"/>
          <w:szCs w:val="24"/>
        </w:rPr>
        <w:t>s</w:t>
      </w:r>
      <w:r w:rsidRPr="007A6E8D">
        <w:rPr>
          <w:rFonts w:ascii="Adobe Caslon Pro" w:hAnsi="Adobe Caslon Pro"/>
          <w:b/>
          <w:sz w:val="24"/>
          <w:szCs w:val="24"/>
        </w:rPr>
        <w:t xml:space="preserve"> tienen un reto </w:t>
      </w:r>
      <w:r w:rsidRPr="007A6E8D">
        <w:rPr>
          <w:rFonts w:ascii="Adobe Caslon Pro" w:hAnsi="Adobe Caslon Pro"/>
          <w:b/>
          <w:sz w:val="24"/>
          <w:szCs w:val="24"/>
        </w:rPr>
        <w:lastRenderedPageBreak/>
        <w:t>mayor en la identificación y detección de posibles víctimas provenientes de este sector de la población.”</w:t>
      </w:r>
    </w:p>
    <w:p w:rsidR="007A6E8D" w:rsidRDefault="007A6E8D" w:rsidP="00391B97">
      <w:pPr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b) Valorar la situación jurídica de la </w:t>
      </w:r>
      <w:proofErr w:type="spellStart"/>
      <w:r>
        <w:rPr>
          <w:rFonts w:ascii="Adobe Caslon Pro" w:hAnsi="Adobe Caslon Pro"/>
          <w:sz w:val="24"/>
          <w:szCs w:val="24"/>
        </w:rPr>
        <w:t>VdT</w:t>
      </w:r>
      <w:proofErr w:type="spellEnd"/>
      <w:r>
        <w:rPr>
          <w:rFonts w:ascii="Adobe Caslon Pro" w:hAnsi="Adobe Caslon Pro"/>
          <w:sz w:val="24"/>
          <w:szCs w:val="24"/>
        </w:rPr>
        <w:t xml:space="preserve"> y apoyar el acceso a la justicia (página 19)</w:t>
      </w:r>
    </w:p>
    <w:p w:rsidR="007A6E8D" w:rsidRDefault="007A6E8D" w:rsidP="00391B97">
      <w:pPr>
        <w:jc w:val="both"/>
        <w:rPr>
          <w:rFonts w:ascii="Adobe Caslon Pro" w:hAnsi="Adobe Caslon Pro"/>
          <w:sz w:val="24"/>
          <w:szCs w:val="24"/>
        </w:rPr>
      </w:pPr>
      <w:r w:rsidRPr="007A6E8D">
        <w:rPr>
          <w:rFonts w:ascii="Adobe Caslon Pro" w:hAnsi="Adobe Caslon Pro"/>
          <w:b/>
          <w:sz w:val="24"/>
          <w:szCs w:val="24"/>
          <w:u w:val="single"/>
          <w:shd w:val="clear" w:color="auto" w:fill="D9D9D9" w:themeFill="background1" w:themeFillShade="D9"/>
        </w:rPr>
        <w:t>Comentario:</w:t>
      </w:r>
      <w:r>
        <w:rPr>
          <w:rFonts w:ascii="Adobe Caslon Pro" w:hAnsi="Adobe Caslon Pro"/>
          <w:sz w:val="24"/>
          <w:szCs w:val="24"/>
        </w:rPr>
        <w:t xml:space="preserve"> En el párrafo que inicia “….Se deberá brindar la colaboración…….apoyar la coordinación de operaciones policiales de investigación conjuntas y el traslado de autoridades de un país a otro.” Se sugiere eliminar la palabra “conjuntas”, en virtud de que la legislación mexicana </w:t>
      </w:r>
      <w:r w:rsidR="000829B7">
        <w:rPr>
          <w:rFonts w:ascii="Adobe Caslon Pro" w:hAnsi="Adobe Caslon Pro"/>
          <w:sz w:val="24"/>
          <w:szCs w:val="24"/>
        </w:rPr>
        <w:t xml:space="preserve">no contempla las investigaciones conjuntas, de ser el caso que no proceda,  se solicita se  añada la frase “investigaciones conjuntas </w:t>
      </w:r>
      <w:r w:rsidR="000829B7" w:rsidRPr="000829B7">
        <w:rPr>
          <w:rFonts w:ascii="Adobe Caslon Pro" w:hAnsi="Adobe Caslon Pro"/>
          <w:b/>
          <w:sz w:val="24"/>
          <w:szCs w:val="24"/>
        </w:rPr>
        <w:t>o</w:t>
      </w:r>
      <w:r w:rsidRPr="000829B7">
        <w:rPr>
          <w:rFonts w:ascii="Adobe Caslon Pro" w:hAnsi="Adobe Caslon Pro"/>
          <w:b/>
          <w:sz w:val="24"/>
          <w:szCs w:val="24"/>
        </w:rPr>
        <w:t xml:space="preserve"> </w:t>
      </w:r>
      <w:r w:rsidR="000829B7" w:rsidRPr="000829B7">
        <w:rPr>
          <w:rFonts w:ascii="Adobe Caslon Pro" w:hAnsi="Adobe Caslon Pro"/>
          <w:b/>
          <w:sz w:val="24"/>
          <w:szCs w:val="24"/>
        </w:rPr>
        <w:t>coordinadas</w:t>
      </w:r>
      <w:r w:rsidR="000829B7">
        <w:rPr>
          <w:rFonts w:ascii="Adobe Caslon Pro" w:hAnsi="Adobe Caslon Pro"/>
          <w:sz w:val="24"/>
          <w:szCs w:val="24"/>
        </w:rPr>
        <w:t>”.</w:t>
      </w:r>
    </w:p>
    <w:p w:rsidR="00624D68" w:rsidRDefault="00624D68" w:rsidP="00391B97">
      <w:pPr>
        <w:jc w:val="both"/>
        <w:rPr>
          <w:rFonts w:ascii="Adobe Caslon Pro" w:hAnsi="Adobe Caslon Pro"/>
          <w:sz w:val="24"/>
          <w:szCs w:val="24"/>
        </w:rPr>
      </w:pPr>
    </w:p>
    <w:p w:rsidR="00105A3C" w:rsidRPr="00EC2A10" w:rsidRDefault="00E50CC7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b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En </w:t>
      </w:r>
      <w:r w:rsidR="002F09F5">
        <w:rPr>
          <w:rFonts w:ascii="Adobe Caslon Pro" w:hAnsi="Adobe Caslon Pro"/>
          <w:sz w:val="24"/>
          <w:szCs w:val="24"/>
        </w:rPr>
        <w:t xml:space="preserve">la página 19, en </w:t>
      </w:r>
      <w:r>
        <w:rPr>
          <w:rFonts w:ascii="Adobe Caslon Pro" w:hAnsi="Adobe Caslon Pro"/>
          <w:sz w:val="24"/>
          <w:szCs w:val="24"/>
        </w:rPr>
        <w:t>el párrafo que inicia “</w:t>
      </w:r>
      <w:r w:rsidR="00624D68" w:rsidRPr="00624D68">
        <w:rPr>
          <w:rStyle w:val="A2"/>
          <w:rFonts w:ascii="Adobe Caslon Pro" w:hAnsi="Adobe Caslon Pro"/>
          <w:sz w:val="24"/>
          <w:szCs w:val="24"/>
        </w:rPr>
        <w:t xml:space="preserve">Cuando, por deficiencias de los procesos nacionales de identificación de </w:t>
      </w:r>
      <w:proofErr w:type="spellStart"/>
      <w:r w:rsidR="00624D68" w:rsidRPr="00624D68">
        <w:rPr>
          <w:rStyle w:val="A2"/>
          <w:rFonts w:ascii="Adobe Caslon Pro" w:hAnsi="Adobe Caslon Pro"/>
          <w:sz w:val="24"/>
          <w:szCs w:val="24"/>
        </w:rPr>
        <w:t>VdT</w:t>
      </w:r>
      <w:proofErr w:type="spellEnd"/>
      <w:r w:rsidR="00624D68" w:rsidRPr="00624D68">
        <w:rPr>
          <w:rStyle w:val="A2"/>
          <w:rFonts w:ascii="Adobe Caslon Pro" w:hAnsi="Adobe Caslon Pro"/>
          <w:sz w:val="24"/>
          <w:szCs w:val="24"/>
        </w:rPr>
        <w:t>, éstas puedan ser tratadas como migrantes irregulares y/o delincuentes y ser privados de su libertad</w:t>
      </w:r>
      <w:r w:rsidR="00624D68">
        <w:rPr>
          <w:rStyle w:val="A2"/>
          <w:rFonts w:ascii="Adobe Caslon Pro" w:hAnsi="Adobe Caslon Pro"/>
          <w:sz w:val="24"/>
          <w:szCs w:val="24"/>
        </w:rPr>
        <w:t xml:space="preserve">….”. </w:t>
      </w:r>
      <w:r w:rsidR="002F09F5">
        <w:rPr>
          <w:rStyle w:val="A2"/>
          <w:rFonts w:ascii="Adobe Caslon Pro" w:hAnsi="Adobe Caslon Pro"/>
          <w:sz w:val="24"/>
          <w:szCs w:val="24"/>
        </w:rPr>
        <w:t>s</w:t>
      </w:r>
      <w:r w:rsidR="00624D68" w:rsidRPr="00105A3C">
        <w:rPr>
          <w:rStyle w:val="A2"/>
          <w:rFonts w:ascii="Adobe Caslon Pro" w:hAnsi="Adobe Caslon Pro"/>
          <w:sz w:val="24"/>
          <w:szCs w:val="24"/>
        </w:rPr>
        <w:t xml:space="preserve">e </w:t>
      </w:r>
      <w:r w:rsidR="002F09F5">
        <w:rPr>
          <w:rStyle w:val="A2"/>
          <w:rFonts w:ascii="Adobe Caslon Pro" w:hAnsi="Adobe Caslon Pro"/>
          <w:sz w:val="24"/>
          <w:szCs w:val="24"/>
        </w:rPr>
        <w:t xml:space="preserve">sugiere </w:t>
      </w:r>
      <w:r w:rsidR="00624D68" w:rsidRPr="00EC2A10">
        <w:rPr>
          <w:rStyle w:val="A2"/>
          <w:rFonts w:ascii="Adobe Caslon Pro" w:hAnsi="Adobe Caslon Pro"/>
          <w:b/>
          <w:sz w:val="24"/>
          <w:szCs w:val="24"/>
        </w:rPr>
        <w:t xml:space="preserve">agregar una nota al </w:t>
      </w:r>
      <w:r w:rsidR="00105A3C" w:rsidRPr="00EC2A10">
        <w:rPr>
          <w:rStyle w:val="A2"/>
          <w:rFonts w:ascii="Adobe Caslon Pro" w:hAnsi="Adobe Caslon Pro"/>
          <w:b/>
          <w:sz w:val="24"/>
          <w:szCs w:val="24"/>
        </w:rPr>
        <w:t xml:space="preserve">pie para evocar  el documento de Principios y Directrices recomendados sobre los derechos humanos y la trata de personas del Alto Comisionado para los Derechos Humanos, </w:t>
      </w:r>
      <w:r w:rsidR="002F09F5" w:rsidRPr="00EC2A10">
        <w:rPr>
          <w:rStyle w:val="A2"/>
          <w:rFonts w:ascii="Adobe Caslon Pro" w:hAnsi="Adobe Caslon Pro"/>
          <w:b/>
          <w:sz w:val="24"/>
          <w:szCs w:val="24"/>
        </w:rPr>
        <w:t xml:space="preserve">que prevé que </w:t>
      </w:r>
      <w:r w:rsidR="00105A3C" w:rsidRPr="00EC2A10">
        <w:rPr>
          <w:rStyle w:val="A2"/>
          <w:rFonts w:ascii="Adobe Caslon Pro" w:hAnsi="Adobe Caslon Pro"/>
          <w:b/>
          <w:sz w:val="24"/>
          <w:szCs w:val="24"/>
        </w:rPr>
        <w:t>los Estados tendrán en cuenta dichos Principios y en particular su apar</w:t>
      </w:r>
      <w:r w:rsidR="002F09F5" w:rsidRPr="00EC2A10">
        <w:rPr>
          <w:rStyle w:val="A2"/>
          <w:rFonts w:ascii="Adobe Caslon Pro" w:hAnsi="Adobe Caslon Pro"/>
          <w:b/>
          <w:sz w:val="24"/>
          <w:szCs w:val="24"/>
        </w:rPr>
        <w:t>t</w:t>
      </w:r>
      <w:r w:rsidR="00105A3C" w:rsidRPr="00EC2A10">
        <w:rPr>
          <w:rStyle w:val="A2"/>
          <w:rFonts w:ascii="Adobe Caslon Pro" w:hAnsi="Adobe Caslon Pro"/>
          <w:b/>
          <w:sz w:val="24"/>
          <w:szCs w:val="24"/>
        </w:rPr>
        <w:t>ado relacionado con la protección y la asistencia a las víctimas que señala: “</w:t>
      </w:r>
      <w:r w:rsidR="00105A3C" w:rsidRPr="00EC2A10">
        <w:rPr>
          <w:rFonts w:ascii="Adobe Caslon Pro" w:hAnsi="Adobe Caslon Pro"/>
          <w:b/>
          <w:sz w:val="24"/>
          <w:szCs w:val="24"/>
        </w:rPr>
        <w:t>Las víctimas de la trata de personas no serán detenidas, acusadas ni procesadas por haber entrado o residir ilegalmente en los países de tránsito y destino ni por haber participado en actividades ilícitas en la medida en que esa participación sea consecuencia directa de su situación de tales.”</w:t>
      </w:r>
    </w:p>
    <w:p w:rsidR="00380C2F" w:rsidRDefault="00380C2F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</w:p>
    <w:p w:rsidR="00380C2F" w:rsidRDefault="00254B4E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3) Coordinar para la consecución de recursos para el retorno</w:t>
      </w:r>
      <w:r w:rsidR="00200926">
        <w:rPr>
          <w:rFonts w:ascii="Adobe Caslon Pro" w:hAnsi="Adobe Caslon Pro"/>
          <w:sz w:val="24"/>
          <w:szCs w:val="24"/>
        </w:rPr>
        <w:t xml:space="preserve"> (página 23)</w:t>
      </w:r>
    </w:p>
    <w:p w:rsidR="00254B4E" w:rsidRDefault="00254B4E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</w:p>
    <w:p w:rsidR="009A2BC5" w:rsidRDefault="00254B4E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  <w:r w:rsidRPr="00254B4E">
        <w:rPr>
          <w:rFonts w:ascii="Adobe Caslon Pro" w:hAnsi="Adobe Caslon Pro"/>
          <w:sz w:val="24"/>
          <w:szCs w:val="24"/>
          <w:u w:val="single"/>
          <w:shd w:val="clear" w:color="auto" w:fill="D9D9D9" w:themeFill="background1" w:themeFillShade="D9"/>
        </w:rPr>
        <w:t>Comentario</w:t>
      </w:r>
      <w:r>
        <w:rPr>
          <w:rFonts w:ascii="Adobe Caslon Pro" w:hAnsi="Adobe Caslon Pro"/>
          <w:sz w:val="24"/>
          <w:szCs w:val="24"/>
        </w:rPr>
        <w:t xml:space="preserve">:  Se sugiere agregar el siguiente texto:  </w:t>
      </w:r>
      <w:r w:rsidRPr="002F09F5">
        <w:rPr>
          <w:rFonts w:ascii="Adobe Caslon Pro" w:hAnsi="Adobe Caslon Pro"/>
          <w:b/>
          <w:sz w:val="24"/>
          <w:szCs w:val="24"/>
        </w:rPr>
        <w:t xml:space="preserve">Los Estados tendrán en cuenta también el Fondo </w:t>
      </w:r>
      <w:r w:rsidR="009A2BC5" w:rsidRPr="002F09F5">
        <w:rPr>
          <w:rFonts w:ascii="Adobe Caslon Pro" w:hAnsi="Adobe Caslon Pro"/>
          <w:b/>
          <w:sz w:val="24"/>
          <w:szCs w:val="24"/>
        </w:rPr>
        <w:t>Fiduciario para las Víctimas de la Trata de Personas de ONU el cual prevé asistencia humanitaria, jurídica y financiera para las (os) sobrevivientes de este delito, mismo que es administrado por la Oficina de Naciones Unidas contra la Droga y el Delito</w:t>
      </w:r>
      <w:r w:rsidR="009A2BC5">
        <w:rPr>
          <w:rFonts w:ascii="Adobe Caslon Pro" w:hAnsi="Adobe Caslon Pro"/>
          <w:sz w:val="24"/>
          <w:szCs w:val="24"/>
        </w:rPr>
        <w:t>.</w:t>
      </w:r>
    </w:p>
    <w:p w:rsidR="00200926" w:rsidRDefault="00200926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</w:p>
    <w:p w:rsidR="00200926" w:rsidRDefault="00200926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c) Coordinación con los mecanismos inter-institucionales o coaliciones nacionales para el combate de la trata de personas (página 33)</w:t>
      </w:r>
    </w:p>
    <w:p w:rsidR="00200926" w:rsidRDefault="00200926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</w:p>
    <w:p w:rsidR="00200926" w:rsidRDefault="00200926" w:rsidP="00200926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626464"/>
          <w:sz w:val="24"/>
          <w:szCs w:val="24"/>
        </w:rPr>
      </w:pPr>
      <w:r w:rsidRPr="00200926">
        <w:rPr>
          <w:rFonts w:ascii="Adobe Caslon Pro" w:hAnsi="Adobe Caslon Pro"/>
          <w:b/>
          <w:sz w:val="24"/>
          <w:szCs w:val="24"/>
          <w:u w:val="single"/>
          <w:shd w:val="clear" w:color="auto" w:fill="D9D9D9" w:themeFill="background1" w:themeFillShade="D9"/>
        </w:rPr>
        <w:t>Comentario</w:t>
      </w:r>
      <w:proofErr w:type="gramStart"/>
      <w:r>
        <w:rPr>
          <w:rFonts w:ascii="Adobe Caslon Pro" w:hAnsi="Adobe Caslon Pro"/>
          <w:sz w:val="24"/>
          <w:szCs w:val="24"/>
        </w:rPr>
        <w:t>:  Se</w:t>
      </w:r>
      <w:proofErr w:type="gramEnd"/>
      <w:r>
        <w:rPr>
          <w:rFonts w:ascii="Adobe Caslon Pro" w:hAnsi="Adobe Caslon Pro"/>
          <w:sz w:val="24"/>
          <w:szCs w:val="24"/>
        </w:rPr>
        <w:t xml:space="preserve"> sugiere agregar la palabra “</w:t>
      </w:r>
      <w:r w:rsidRPr="00200926">
        <w:rPr>
          <w:rFonts w:ascii="Adobe Caslon Pro" w:hAnsi="Adobe Caslon Pro"/>
          <w:b/>
          <w:sz w:val="24"/>
          <w:szCs w:val="24"/>
        </w:rPr>
        <w:t>comisiones</w:t>
      </w:r>
      <w:r>
        <w:rPr>
          <w:rFonts w:ascii="Adobe Caslon Pro" w:hAnsi="Adobe Caslon Pro"/>
          <w:b/>
          <w:sz w:val="24"/>
          <w:szCs w:val="24"/>
        </w:rPr>
        <w:t>”</w:t>
      </w:r>
      <w:r>
        <w:rPr>
          <w:rFonts w:ascii="Adobe Caslon Pro" w:hAnsi="Adobe Caslon Pro"/>
          <w:sz w:val="24"/>
          <w:szCs w:val="24"/>
        </w:rPr>
        <w:t xml:space="preserve"> ya que para el caso de México el órgano colegiado es precisamente la denominada “Comisión Intersecretarial para Prevenir, </w:t>
      </w:r>
      <w:r>
        <w:rPr>
          <w:rFonts w:ascii="Adobe Caslon Pro" w:eastAsia="Times New Roman" w:hAnsi="Adobe Caslon Pro" w:cs="Times New Roman"/>
          <w:color w:val="626464"/>
          <w:sz w:val="24"/>
          <w:szCs w:val="24"/>
        </w:rPr>
        <w:t>Sancionar  y Erradicar  los Delitos en Materia de Trata de Personas y para la Protección y Asistencia a las Víctimas de estos Delitos, para quedar como sigue:  “En todos los países de la región existen comités, “</w:t>
      </w:r>
      <w:r w:rsidRPr="00200926">
        <w:rPr>
          <w:rFonts w:ascii="Adobe Caslon Pro" w:eastAsia="Times New Roman" w:hAnsi="Adobe Caslon Pro" w:cs="Times New Roman"/>
          <w:b/>
          <w:color w:val="626464"/>
          <w:sz w:val="24"/>
          <w:szCs w:val="24"/>
        </w:rPr>
        <w:t>comisiones</w:t>
      </w:r>
      <w:r>
        <w:rPr>
          <w:rFonts w:ascii="Adobe Caslon Pro" w:eastAsia="Times New Roman" w:hAnsi="Adobe Caslon Pro" w:cs="Times New Roman"/>
          <w:b/>
          <w:color w:val="626464"/>
          <w:sz w:val="24"/>
          <w:szCs w:val="24"/>
        </w:rPr>
        <w:t xml:space="preserve">” </w:t>
      </w:r>
      <w:r w:rsidRPr="00200926">
        <w:rPr>
          <w:rFonts w:ascii="Adobe Caslon Pro" w:eastAsia="Times New Roman" w:hAnsi="Adobe Caslon Pro" w:cs="Times New Roman"/>
          <w:color w:val="626464"/>
          <w:sz w:val="24"/>
          <w:szCs w:val="24"/>
        </w:rPr>
        <w:t>o coaliciones nacionales</w:t>
      </w:r>
      <w:r>
        <w:rPr>
          <w:rFonts w:ascii="Adobe Caslon Pro" w:eastAsia="Times New Roman" w:hAnsi="Adobe Caslon Pro" w:cs="Times New Roman"/>
          <w:color w:val="626464"/>
          <w:sz w:val="24"/>
          <w:szCs w:val="24"/>
        </w:rPr>
        <w:t xml:space="preserve"> que convocan….”</w:t>
      </w:r>
    </w:p>
    <w:p w:rsidR="00200926" w:rsidRDefault="00200926" w:rsidP="00105A3C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/>
          <w:sz w:val="24"/>
          <w:szCs w:val="24"/>
        </w:rPr>
      </w:pPr>
    </w:p>
    <w:sectPr w:rsidR="0020092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F2" w:rsidRDefault="009605F2" w:rsidP="00200926">
      <w:pPr>
        <w:spacing w:after="0" w:line="240" w:lineRule="auto"/>
      </w:pPr>
      <w:r>
        <w:separator/>
      </w:r>
    </w:p>
  </w:endnote>
  <w:endnote w:type="continuationSeparator" w:id="0">
    <w:p w:rsidR="009605F2" w:rsidRDefault="009605F2" w:rsidP="0020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charset w:val="00"/>
    <w:family w:val="auto"/>
    <w:pitch w:val="default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877675"/>
      <w:docPartObj>
        <w:docPartGallery w:val="Page Numbers (Bottom of Page)"/>
        <w:docPartUnique/>
      </w:docPartObj>
    </w:sdtPr>
    <w:sdtEndPr/>
    <w:sdtContent>
      <w:p w:rsidR="00EC2A10" w:rsidRDefault="00EC2A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03" w:rsidRPr="00ED6103">
          <w:rPr>
            <w:noProof/>
            <w:lang w:val="es-ES"/>
          </w:rPr>
          <w:t>1</w:t>
        </w:r>
        <w:r>
          <w:fldChar w:fldCharType="end"/>
        </w:r>
      </w:p>
    </w:sdtContent>
  </w:sdt>
  <w:p w:rsidR="00EC2A10" w:rsidRDefault="00EC2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F2" w:rsidRDefault="009605F2" w:rsidP="00200926">
      <w:pPr>
        <w:spacing w:after="0" w:line="240" w:lineRule="auto"/>
      </w:pPr>
      <w:r>
        <w:separator/>
      </w:r>
    </w:p>
  </w:footnote>
  <w:footnote w:type="continuationSeparator" w:id="0">
    <w:p w:rsidR="009605F2" w:rsidRDefault="009605F2" w:rsidP="0020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26" w:rsidRDefault="00200926" w:rsidP="00200926">
    <w:pPr>
      <w:pStyle w:val="Header"/>
      <w:jc w:val="right"/>
    </w:pPr>
    <w:r>
      <w:t>Dirección General para Temas Globales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1B8"/>
    <w:multiLevelType w:val="hybridMultilevel"/>
    <w:tmpl w:val="04A69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6A"/>
    <w:rsid w:val="000829B7"/>
    <w:rsid w:val="00105A3C"/>
    <w:rsid w:val="00146EF3"/>
    <w:rsid w:val="001B743A"/>
    <w:rsid w:val="001C0E66"/>
    <w:rsid w:val="00200926"/>
    <w:rsid w:val="00254B4E"/>
    <w:rsid w:val="002F09F5"/>
    <w:rsid w:val="00380C2F"/>
    <w:rsid w:val="00391B97"/>
    <w:rsid w:val="003C79A6"/>
    <w:rsid w:val="0051695E"/>
    <w:rsid w:val="00624D68"/>
    <w:rsid w:val="006D155D"/>
    <w:rsid w:val="007A6E8D"/>
    <w:rsid w:val="007B2741"/>
    <w:rsid w:val="009605F2"/>
    <w:rsid w:val="009A2BC5"/>
    <w:rsid w:val="00B7206A"/>
    <w:rsid w:val="00CF6F69"/>
    <w:rsid w:val="00D72276"/>
    <w:rsid w:val="00DF3F6A"/>
    <w:rsid w:val="00E50CC7"/>
    <w:rsid w:val="00EC2A10"/>
    <w:rsid w:val="00ED6103"/>
    <w:rsid w:val="00F0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624D68"/>
    <w:rPr>
      <w:rFonts w:cs="Myriad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00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6"/>
  </w:style>
  <w:style w:type="paragraph" w:styleId="Footer">
    <w:name w:val="footer"/>
    <w:basedOn w:val="Normal"/>
    <w:link w:val="FooterChar"/>
    <w:uiPriority w:val="99"/>
    <w:unhideWhenUsed/>
    <w:rsid w:val="00200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624D68"/>
    <w:rPr>
      <w:rFonts w:cs="Myriad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00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6"/>
  </w:style>
  <w:style w:type="paragraph" w:styleId="Footer">
    <w:name w:val="footer"/>
    <w:basedOn w:val="Normal"/>
    <w:link w:val="FooterChar"/>
    <w:uiPriority w:val="99"/>
    <w:unhideWhenUsed/>
    <w:rsid w:val="00200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230F-F20C-44C5-9D3C-04EC332C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Vargas, Alma Magali</dc:creator>
  <cp:lastModifiedBy>BUSH Oliver</cp:lastModifiedBy>
  <cp:revision>2</cp:revision>
  <dcterms:created xsi:type="dcterms:W3CDTF">2013-10-21T14:46:00Z</dcterms:created>
  <dcterms:modified xsi:type="dcterms:W3CDTF">2013-10-21T14:46:00Z</dcterms:modified>
</cp:coreProperties>
</file>